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5E" w:rsidRDefault="00546C5E" w:rsidP="00546C5E">
      <w:r>
        <w:t>Торговое наименование: Норэпинефрин Калцекс</w:t>
      </w:r>
    </w:p>
    <w:p w:rsidR="00546C5E" w:rsidRDefault="00546C5E" w:rsidP="00546C5E">
      <w:r>
        <w:t>Международное непатентованное или группировочное наименование: норэпинефрин</w:t>
      </w:r>
    </w:p>
    <w:p w:rsidR="00546C5E" w:rsidRDefault="00546C5E" w:rsidP="00546C5E">
      <w:r>
        <w:t>Лекарственная форма: концентрат для приготовления раствора для внутривенного введения</w:t>
      </w:r>
    </w:p>
    <w:p w:rsidR="00546C5E" w:rsidRDefault="00546C5E" w:rsidP="00546C5E"/>
    <w:p w:rsidR="00546C5E" w:rsidRDefault="00546C5E" w:rsidP="00546C5E">
      <w:r>
        <w:t>Норэпинефрин является симпатомиметическим биогенным амином. Оказывает мо</w:t>
      </w:r>
      <w:r>
        <w:t>щное стимулирующее действие на альфа</w:t>
      </w:r>
      <w:r>
        <w:t>-адренореце</w:t>
      </w:r>
      <w:r>
        <w:t>пторы периферических сосудов и бета-</w:t>
      </w:r>
      <w:r>
        <w:t>адренорецепторы сердца. Норэпинефрин вызывает периферическую вазок</w:t>
      </w:r>
      <w:r>
        <w:t xml:space="preserve">онстрикцию (альфа-адреномиметическое действие) </w:t>
      </w:r>
      <w:r>
        <w:t>положительное</w:t>
      </w:r>
      <w:r>
        <w:t xml:space="preserve"> </w:t>
      </w:r>
      <w:r>
        <w:t>инотропное</w:t>
      </w:r>
      <w:r>
        <w:t xml:space="preserve"> </w:t>
      </w:r>
      <w:r>
        <w:t>действие</w:t>
      </w:r>
      <w:r>
        <w:t xml:space="preserve"> </w:t>
      </w:r>
      <w:r>
        <w:t>и</w:t>
      </w:r>
      <w:r>
        <w:t xml:space="preserve"> </w:t>
      </w:r>
      <w:r>
        <w:t>расширение</w:t>
      </w:r>
      <w:r>
        <w:t xml:space="preserve"> </w:t>
      </w:r>
      <w:r>
        <w:t>коронарных</w:t>
      </w:r>
      <w:r>
        <w:t xml:space="preserve"> </w:t>
      </w:r>
      <w:r>
        <w:t>артерий (</w:t>
      </w:r>
      <w:r>
        <w:t>бета</w:t>
      </w:r>
      <w:r>
        <w:t xml:space="preserve"> -адреномиметическое действие). Это приводит к повышению систолического и диастолического артериального давления (АД) увеличению общего периферического сосудистого сопротивления (ОПСС), центрального венозного давления и коронарного кровотока.</w:t>
      </w:r>
    </w:p>
    <w:p w:rsidR="00546C5E" w:rsidRDefault="00546C5E" w:rsidP="00546C5E">
      <w:r>
        <w:t>При артериальной гипотензии, сохраняющейся после коррекции сниженного объема циркулирующей крови, норэпинефрин способствует повышению артериального давления до оптимального уровня и обеспечению более адекватного кровообращения.</w:t>
      </w:r>
    </w:p>
    <w:p w:rsidR="00546C5E" w:rsidRDefault="00546C5E" w:rsidP="00546C5E">
      <w:r>
        <w:t>При инфаркте миокарда, сопровождающемся артериальной гипотензией, норэпинефрин обычно повышает давление в аорте, расширяет коронарные артерии, увеличивает коронарный кровоток, улучшает оксигенацию миокарда и, таким образом, способствует ограничению области ишемии и инфаркта миокарда. Венозный возврат увеличивается, что способствует нормализации сердечного ритма и частоты сердечных сокращений.</w:t>
      </w:r>
    </w:p>
    <w:p w:rsidR="00546C5E" w:rsidRDefault="00546C5E" w:rsidP="00546C5E">
      <w:r>
        <w:t>Повышение артериального давления может вызвать рефлекторное снижение частоты сердечных сокращений. Вазоконстрикция может привести к снижению кровотока в почках, печени, коже и гладких мышцах. Локальная вазоконстрикция может вызвать гемостаз и /или некроз тканей.</w:t>
      </w:r>
    </w:p>
    <w:p w:rsidR="00546C5E" w:rsidRDefault="00546C5E" w:rsidP="00546C5E">
      <w:r>
        <w:t>Действие норэпинефрина прекращается через 1-2 минуты после прекаращения инфузии. Возможно развитие толерантности к эффектам препарата.</w:t>
      </w:r>
    </w:p>
    <w:p w:rsidR="00546C5E" w:rsidRDefault="00546C5E" w:rsidP="00546C5E"/>
    <w:p w:rsidR="00546C5E" w:rsidRDefault="00546C5E" w:rsidP="00546C5E">
      <w:r>
        <w:t>Показания к применению</w:t>
      </w:r>
    </w:p>
    <w:p w:rsidR="00546C5E" w:rsidRDefault="00546C5E" w:rsidP="00546C5E">
      <w:r>
        <w:t>Быстрое восстановление артериального давления при остром его снижении.</w:t>
      </w:r>
    </w:p>
    <w:p w:rsidR="00546C5E" w:rsidRDefault="00546C5E" w:rsidP="00546C5E"/>
    <w:p w:rsidR="00546C5E" w:rsidRDefault="00546C5E" w:rsidP="00546C5E">
      <w:r>
        <w:t>Противопоказания</w:t>
      </w:r>
    </w:p>
    <w:p w:rsidR="00546C5E" w:rsidRDefault="00546C5E" w:rsidP="00546C5E">
      <w:r>
        <w:t>•</w:t>
      </w:r>
      <w:r>
        <w:t xml:space="preserve"> </w:t>
      </w:r>
      <w:r>
        <w:t>Гиперчувствительность к действующему веществу или к любому из вспомогательных веществ;</w:t>
      </w:r>
    </w:p>
    <w:p w:rsidR="00546C5E" w:rsidRDefault="00546C5E" w:rsidP="00546C5E">
      <w:r>
        <w:t>•</w:t>
      </w:r>
      <w:r>
        <w:t xml:space="preserve"> </w:t>
      </w:r>
      <w:r>
        <w:t>артериальная гипотензия, вызванная гиповолемией (за исключением случаев, когда норэпинефрин применяется для поддержания мозгового и коронарного кровотока до окончания терапии, направленной на восстановление объема циркулирующей крови);</w:t>
      </w:r>
    </w:p>
    <w:p w:rsidR="00546C5E" w:rsidRDefault="00546C5E" w:rsidP="00546C5E">
      <w:r>
        <w:t>•</w:t>
      </w:r>
      <w:r>
        <w:t xml:space="preserve"> </w:t>
      </w:r>
      <w:r>
        <w:t>проведение плановой галотановой и циклопропановой общей анестезии (в связи с риском развития аритмии сердца);</w:t>
      </w:r>
    </w:p>
    <w:p w:rsidR="00546C5E" w:rsidRDefault="00546C5E" w:rsidP="00546C5E">
      <w:r>
        <w:t>•</w:t>
      </w:r>
      <w:r>
        <w:t xml:space="preserve"> </w:t>
      </w:r>
      <w:r>
        <w:t>выраженная гипоксия и гиперкапния.</w:t>
      </w:r>
    </w:p>
    <w:p w:rsidR="00546C5E" w:rsidRDefault="00546C5E" w:rsidP="00546C5E"/>
    <w:p w:rsidR="00546C5E" w:rsidRDefault="00546C5E" w:rsidP="00546C5E">
      <w:r>
        <w:t>С осторожностью</w:t>
      </w:r>
    </w:p>
    <w:p w:rsidR="00546C5E" w:rsidRDefault="00546C5E" w:rsidP="00546C5E">
      <w:r>
        <w:t>•</w:t>
      </w:r>
      <w:r>
        <w:t xml:space="preserve"> </w:t>
      </w:r>
      <w:r>
        <w:t>Выраженная левожелудочковая недостаточность;</w:t>
      </w:r>
    </w:p>
    <w:p w:rsidR="00546C5E" w:rsidRDefault="00546C5E" w:rsidP="00546C5E">
      <w:r>
        <w:t>•</w:t>
      </w:r>
      <w:r>
        <w:t xml:space="preserve"> </w:t>
      </w:r>
      <w:r>
        <w:t>острая сердечная недостаточность;</w:t>
      </w:r>
    </w:p>
    <w:p w:rsidR="00546C5E" w:rsidRDefault="00546C5E" w:rsidP="00546C5E">
      <w:r>
        <w:t>•</w:t>
      </w:r>
      <w:r>
        <w:t xml:space="preserve"> </w:t>
      </w:r>
      <w:r>
        <w:t>недавно перенесенный инфаркт миокарда;</w:t>
      </w:r>
    </w:p>
    <w:p w:rsidR="00546C5E" w:rsidRDefault="00546C5E" w:rsidP="00546C5E">
      <w:r>
        <w:t>•</w:t>
      </w:r>
      <w:r>
        <w:t xml:space="preserve"> </w:t>
      </w:r>
      <w:r>
        <w:t>стенокардия Принцметала;</w:t>
      </w:r>
    </w:p>
    <w:p w:rsidR="00546C5E" w:rsidRDefault="00546C5E" w:rsidP="00546C5E">
      <w:r>
        <w:t>•</w:t>
      </w:r>
      <w:r>
        <w:t xml:space="preserve"> </w:t>
      </w:r>
      <w:r>
        <w:t>тромбоз коронарных, брыжеечных или периферических сосудов (риск усугубления ишемии и увеличения зоны инфаркта), недостаточное кровообращение;</w:t>
      </w:r>
    </w:p>
    <w:p w:rsidR="00546C5E" w:rsidRDefault="00546C5E" w:rsidP="00546C5E">
      <w:r>
        <w:t>/</w:t>
      </w:r>
      <w:r>
        <w:t xml:space="preserve"> </w:t>
      </w:r>
      <w:r>
        <w:t>•</w:t>
      </w:r>
      <w:r>
        <w:t xml:space="preserve"> </w:t>
      </w:r>
      <w:r>
        <w:t>нарушение ритма сердца во время инфузии препарата (меры коррекции описаны в разделе</w:t>
      </w:r>
    </w:p>
    <w:p w:rsidR="00546C5E" w:rsidRDefault="00546C5E" w:rsidP="00546C5E">
      <w:r>
        <w:t>«Особые указания»);</w:t>
      </w:r>
    </w:p>
    <w:p w:rsidR="00546C5E" w:rsidRDefault="00546C5E" w:rsidP="00546C5E">
      <w:r>
        <w:t>•</w:t>
      </w:r>
      <w:r>
        <w:t xml:space="preserve"> </w:t>
      </w:r>
      <w:r>
        <w:t>гипертиреоз или сахарный диабет;</w:t>
      </w:r>
    </w:p>
    <w:p w:rsidR="00546C5E" w:rsidRDefault="00546C5E" w:rsidP="00546C5E">
      <w:r>
        <w:t>•</w:t>
      </w:r>
      <w:r>
        <w:t xml:space="preserve"> </w:t>
      </w:r>
      <w:r>
        <w:t>пожилые пациенты.</w:t>
      </w:r>
    </w:p>
    <w:p w:rsidR="00546C5E" w:rsidRDefault="00546C5E" w:rsidP="00546C5E"/>
    <w:p w:rsidR="00546C5E" w:rsidRDefault="00546C5E" w:rsidP="00546C5E"/>
    <w:p w:rsidR="00546C5E" w:rsidRDefault="00546C5E" w:rsidP="00546C5E">
      <w:r>
        <w:t>Применение при беременности и в период грудного вскармливания</w:t>
      </w:r>
    </w:p>
    <w:p w:rsidR="00546C5E" w:rsidRDefault="00546C5E" w:rsidP="00546C5E">
      <w:r>
        <w:t>Норэпинефрин способен нарушать перфузию плаценты и вызвать брадикардию плода. Норэпинефрин может вызвать сокращение матки и привести к асфиксии плода на позднем сроке беременности.</w:t>
      </w:r>
    </w:p>
    <w:p w:rsidR="00546C5E" w:rsidRDefault="00546C5E" w:rsidP="00546C5E">
      <w:r>
        <w:lastRenderedPageBreak/>
        <w:t>Препарат норэпинефрина в период грудного вскармливания следует применять с осторожностью, так как отсутствуют данные о его способности проникать в грудное молоко.</w:t>
      </w:r>
    </w:p>
    <w:p w:rsidR="00546C5E" w:rsidRDefault="00546C5E" w:rsidP="00546C5E">
      <w:r>
        <w:t>Применение препарата Норэпинефрин Калцекс в период беременности возможно, если ожидаемая польза для матери превышает возможный риск для плода.</w:t>
      </w:r>
    </w:p>
    <w:p w:rsidR="00546C5E" w:rsidRDefault="00546C5E" w:rsidP="00546C5E"/>
    <w:p w:rsidR="00546C5E" w:rsidRDefault="00546C5E" w:rsidP="00546C5E">
      <w:r>
        <w:t xml:space="preserve">Способ применения и дозы </w:t>
      </w:r>
    </w:p>
    <w:p w:rsidR="00546C5E" w:rsidRDefault="00546C5E" w:rsidP="00546C5E">
      <w:r>
        <w:t xml:space="preserve">Общие рекомендации </w:t>
      </w:r>
    </w:p>
    <w:p w:rsidR="00546C5E" w:rsidRDefault="00546C5E" w:rsidP="00546C5E">
      <w:r>
        <w:t>Вводят только внутривенно.</w:t>
      </w:r>
    </w:p>
    <w:p w:rsidR="00546C5E" w:rsidRDefault="00546C5E" w:rsidP="00546C5E">
      <w:r>
        <w:t>Индивидуальная доза препарата Норэпинефрин Калцекс устанавливается врачом в зависимости от клинического состояния пациента.</w:t>
      </w:r>
    </w:p>
    <w:p w:rsidR="00546C5E" w:rsidRDefault="00546C5E" w:rsidP="00546C5E">
      <w:r>
        <w:t>Препарат Норэпинефрин Калцекс необходимо вводить посредством</w:t>
      </w:r>
      <w:r>
        <w:t xml:space="preserve"> </w:t>
      </w:r>
      <w:r>
        <w:t>устройств центрального венозного доступа, с целью снизить риск экстравазации и последующего некроза тканей.</w:t>
      </w:r>
    </w:p>
    <w:p w:rsidR="00546C5E" w:rsidRDefault="00546C5E" w:rsidP="00546C5E">
      <w:r>
        <w:t>Перед началом или во время терапии необходима коррекция гиповолемии, гипоксии, ацидоза, гиперкапнии.</w:t>
      </w:r>
    </w:p>
    <w:p w:rsidR="00546C5E" w:rsidRDefault="00546C5E" w:rsidP="00546C5E">
      <w:r>
        <w:t>Введение препарата</w:t>
      </w:r>
    </w:p>
    <w:p w:rsidR="00546C5E" w:rsidRDefault="00546C5E" w:rsidP="00546C5E">
      <w:r>
        <w:t xml:space="preserve">Рекомендуемая начальная доза Норэпинефрин </w:t>
      </w:r>
      <w:r>
        <w:t>Калцекс и скорость введения от 0</w:t>
      </w:r>
      <w:r>
        <w:t>,1 до 0,3 мкг/кг/мин. Скорость инфузии прогрессивно увели</w:t>
      </w:r>
      <w:r>
        <w:t>чивают титрованием пошагово, по</w:t>
      </w:r>
      <w:r>
        <w:t xml:space="preserve"> 0,05-0,1 мкг/кг/мин, в соответствии с наблюдаемым прессорным эффектом до тех пор, пока не достигнут желаемой нормотонии.</w:t>
      </w:r>
    </w:p>
    <w:p w:rsidR="00546C5E" w:rsidRDefault="00546C5E" w:rsidP="00546C5E">
      <w:r>
        <w:t xml:space="preserve"> </w:t>
      </w:r>
    </w:p>
    <w:p w:rsidR="00546C5E" w:rsidRDefault="00546C5E" w:rsidP="00546C5E">
      <w:r>
        <w:t>Существуют индивидуальные различия в дозе, необходимой для достижения и поддержания нормотонии. Цель - достижение нижней границы нормы систолического давления (100-120 мм рт.ст.) или достижение достаточного уровня среднего значения (выше 65-80 мм рт.ст. в зависимости от состояния пациента). Индивидуальная доза, вследствие высокой вариабельности клинического ответа при введении препарата, устанавливается в зависимости от состояния пациента.</w:t>
      </w:r>
    </w:p>
    <w:p w:rsidR="00546C5E" w:rsidRDefault="00546C5E" w:rsidP="00546C5E">
      <w:r>
        <w:t>Препарат Норэпинефрин Калцекс следует применять одновременно с надлежащим восполнением объема циркулирующей крови.</w:t>
      </w:r>
    </w:p>
    <w:p w:rsidR="00546C5E" w:rsidRDefault="00546C5E" w:rsidP="00546C5E">
      <w:r>
        <w:t>Необходимо остерегаться вве</w:t>
      </w:r>
      <w:r>
        <w:t>дения раствора препарата под ко</w:t>
      </w:r>
      <w:r>
        <w:t>жу и в мышцы из-за опасности развития некрозов!</w:t>
      </w:r>
    </w:p>
    <w:p w:rsidR="00546C5E" w:rsidRDefault="00546C5E" w:rsidP="00546C5E">
      <w:r>
        <w:t>Разведение</w:t>
      </w:r>
    </w:p>
    <w:p w:rsidR="00546C5E" w:rsidRDefault="00546C5E" w:rsidP="00546C5E">
      <w:r>
        <w:t>Добавить 2 мл Норэпинефрин Калцекс к 48 мл 50 мг/мл (5 %) растворе глюкозы, 9 мг/мл (0,9 %) растворе хлористого натрия или 9 мг/мл (0,9 %) растворе хлористого натрия с 50 мг/мл (5 %) раствора глюкозы для введения с помощью шприцевоrо насоса. Конечная концентрация инфузионного раствора составляет 80 мr/л норэпинефрина rидротартрата, что эквивалентно 40 мr/л норэпинефрина. Если используются другие разведения, тщательно проверьте расчет перед началом лечения.</w:t>
      </w:r>
    </w:p>
    <w:p w:rsidR="00546C5E" w:rsidRDefault="00546C5E" w:rsidP="00546C5E">
      <w:r>
        <w:t>Таблица 1. Расчет скорости инфузии (мл/ч) раствора препарата Норэпинефрин Калцекс с концентрацией 0,08 мг/мл*</w:t>
      </w:r>
    </w:p>
    <w:p w:rsidR="00546C5E" w:rsidRDefault="00546C5E" w:rsidP="00546C5E"/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2552"/>
        <w:gridCol w:w="2126"/>
      </w:tblGrid>
      <w:tr w:rsidR="00546C5E" w:rsidRPr="00546C5E" w:rsidTr="00546C5E">
        <w:trPr>
          <w:trHeight w:val="801"/>
        </w:trPr>
        <w:tc>
          <w:tcPr>
            <w:tcW w:w="1560" w:type="dxa"/>
            <w:tcBorders>
              <w:bottom w:val="single" w:sz="12" w:space="0" w:color="000000"/>
            </w:tcBorders>
          </w:tcPr>
          <w:p w:rsidR="00546C5E" w:rsidRPr="00546C5E" w:rsidRDefault="00546C5E" w:rsidP="00546C5E">
            <w:pPr>
              <w:rPr>
                <w:b/>
              </w:rPr>
            </w:pPr>
            <w:r w:rsidRPr="00546C5E">
              <w:rPr>
                <w:b/>
              </w:rPr>
              <w:t>Масса тела пациента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546C5E" w:rsidRPr="00546C5E" w:rsidRDefault="00546C5E" w:rsidP="00546C5E">
            <w:pPr>
              <w:rPr>
                <w:b/>
              </w:rPr>
            </w:pPr>
            <w:r w:rsidRPr="00546C5E">
              <w:rPr>
                <w:b/>
              </w:rPr>
              <w:t>Дозировка норэпинефрина (мкг/кг/мин)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546C5E" w:rsidRPr="00546C5E" w:rsidRDefault="00546C5E" w:rsidP="00546C5E">
            <w:pPr>
              <w:rPr>
                <w:b/>
              </w:rPr>
            </w:pPr>
            <w:r w:rsidRPr="00546C5E">
              <w:rPr>
                <w:b/>
              </w:rPr>
              <w:t>Дозировка норэпинефрина (мг/час)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546C5E" w:rsidRPr="00546C5E" w:rsidRDefault="00546C5E" w:rsidP="00546C5E">
            <w:pPr>
              <w:rPr>
                <w:b/>
              </w:rPr>
            </w:pPr>
            <w:r w:rsidRPr="00546C5E">
              <w:rPr>
                <w:b/>
              </w:rPr>
              <w:t>Скорость инфузии (мл/час)</w:t>
            </w:r>
          </w:p>
        </w:tc>
      </w:tr>
      <w:tr w:rsidR="00546C5E" w:rsidRPr="00546C5E" w:rsidTr="00546C5E">
        <w:trPr>
          <w:trHeight w:val="277"/>
        </w:trPr>
        <w:tc>
          <w:tcPr>
            <w:tcW w:w="156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46C5E" w:rsidRPr="00546C5E" w:rsidRDefault="00546C5E" w:rsidP="00546C5E">
            <w:r w:rsidRPr="00546C5E">
              <w:t>50 кг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:rsidR="00546C5E" w:rsidRPr="00546C5E" w:rsidRDefault="00546C5E" w:rsidP="00546C5E">
            <w:r w:rsidRPr="00546C5E">
              <w:t>0,05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:rsidR="00546C5E" w:rsidRPr="00546C5E" w:rsidRDefault="00546C5E" w:rsidP="00546C5E">
            <w:r w:rsidRPr="00546C5E">
              <w:t>0,15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546C5E" w:rsidRPr="00546C5E" w:rsidRDefault="00546C5E" w:rsidP="00546C5E">
            <w:r w:rsidRPr="00546C5E">
              <w:t>1,875</w:t>
            </w:r>
          </w:p>
        </w:tc>
      </w:tr>
      <w:tr w:rsidR="00546C5E" w:rsidRPr="00546C5E" w:rsidTr="00546C5E">
        <w:trPr>
          <w:trHeight w:val="272"/>
        </w:trPr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</w:tcPr>
          <w:p w:rsidR="00546C5E" w:rsidRPr="00546C5E" w:rsidRDefault="00546C5E" w:rsidP="00546C5E">
            <w:r w:rsidRPr="00546C5E">
              <w:t>0,1</w:t>
            </w:r>
          </w:p>
        </w:tc>
        <w:tc>
          <w:tcPr>
            <w:tcW w:w="2552" w:type="dxa"/>
          </w:tcPr>
          <w:p w:rsidR="00546C5E" w:rsidRPr="00546C5E" w:rsidRDefault="00546C5E" w:rsidP="00546C5E">
            <w:r w:rsidRPr="00546C5E">
              <w:t>0,3</w:t>
            </w:r>
          </w:p>
        </w:tc>
        <w:tc>
          <w:tcPr>
            <w:tcW w:w="2126" w:type="dxa"/>
          </w:tcPr>
          <w:p w:rsidR="00546C5E" w:rsidRPr="00546C5E" w:rsidRDefault="00546C5E" w:rsidP="00546C5E">
            <w:r w:rsidRPr="00546C5E">
              <w:t>3,75</w:t>
            </w:r>
          </w:p>
        </w:tc>
      </w:tr>
      <w:tr w:rsidR="00546C5E" w:rsidRPr="00546C5E" w:rsidTr="00546C5E">
        <w:trPr>
          <w:trHeight w:val="267"/>
        </w:trPr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</w:tcPr>
          <w:p w:rsidR="00546C5E" w:rsidRPr="00546C5E" w:rsidRDefault="00546C5E" w:rsidP="00546C5E">
            <w:r w:rsidRPr="00546C5E">
              <w:t>0,2</w:t>
            </w:r>
          </w:p>
        </w:tc>
        <w:tc>
          <w:tcPr>
            <w:tcW w:w="2552" w:type="dxa"/>
          </w:tcPr>
          <w:p w:rsidR="00546C5E" w:rsidRPr="00546C5E" w:rsidRDefault="00546C5E" w:rsidP="00546C5E">
            <w:r w:rsidRPr="00546C5E">
              <w:t>0,6</w:t>
            </w:r>
          </w:p>
        </w:tc>
        <w:tc>
          <w:tcPr>
            <w:tcW w:w="2126" w:type="dxa"/>
          </w:tcPr>
          <w:p w:rsidR="00546C5E" w:rsidRPr="00546C5E" w:rsidRDefault="00546C5E" w:rsidP="00546C5E">
            <w:r w:rsidRPr="00546C5E">
              <w:t>7,5</w:t>
            </w:r>
          </w:p>
        </w:tc>
      </w:tr>
      <w:tr w:rsidR="00546C5E" w:rsidRPr="00546C5E" w:rsidTr="00546C5E">
        <w:trPr>
          <w:trHeight w:val="267"/>
        </w:trPr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</w:tcPr>
          <w:p w:rsidR="00546C5E" w:rsidRPr="00546C5E" w:rsidRDefault="00546C5E" w:rsidP="00546C5E">
            <w:r w:rsidRPr="00546C5E">
              <w:t>0,3</w:t>
            </w:r>
          </w:p>
        </w:tc>
        <w:tc>
          <w:tcPr>
            <w:tcW w:w="2552" w:type="dxa"/>
          </w:tcPr>
          <w:p w:rsidR="00546C5E" w:rsidRPr="00546C5E" w:rsidRDefault="00546C5E" w:rsidP="00546C5E">
            <w:r w:rsidRPr="00546C5E">
              <w:t>0,9</w:t>
            </w:r>
          </w:p>
        </w:tc>
        <w:tc>
          <w:tcPr>
            <w:tcW w:w="2126" w:type="dxa"/>
          </w:tcPr>
          <w:p w:rsidR="00546C5E" w:rsidRPr="00546C5E" w:rsidRDefault="00546C5E" w:rsidP="00546C5E">
            <w:r w:rsidRPr="00546C5E">
              <w:t>11,25</w:t>
            </w:r>
          </w:p>
        </w:tc>
      </w:tr>
      <w:tr w:rsidR="00546C5E" w:rsidRPr="00546C5E" w:rsidTr="00546C5E">
        <w:trPr>
          <w:trHeight w:val="258"/>
        </w:trPr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</w:tcPr>
          <w:p w:rsidR="00546C5E" w:rsidRPr="00546C5E" w:rsidRDefault="00546C5E" w:rsidP="00546C5E">
            <w:r w:rsidRPr="00546C5E">
              <w:t>0,5</w:t>
            </w:r>
          </w:p>
        </w:tc>
        <w:tc>
          <w:tcPr>
            <w:tcW w:w="2552" w:type="dxa"/>
          </w:tcPr>
          <w:p w:rsidR="00546C5E" w:rsidRPr="00546C5E" w:rsidRDefault="00546C5E" w:rsidP="00546C5E">
            <w:r w:rsidRPr="00546C5E">
              <w:t>1,5</w:t>
            </w:r>
          </w:p>
        </w:tc>
        <w:tc>
          <w:tcPr>
            <w:tcW w:w="2126" w:type="dxa"/>
          </w:tcPr>
          <w:p w:rsidR="00546C5E" w:rsidRPr="00546C5E" w:rsidRDefault="00546C5E" w:rsidP="00546C5E">
            <w:r w:rsidRPr="00546C5E">
              <w:t>18,75</w:t>
            </w:r>
          </w:p>
        </w:tc>
      </w:tr>
      <w:tr w:rsidR="00546C5E" w:rsidRPr="00546C5E" w:rsidTr="00546C5E">
        <w:trPr>
          <w:trHeight w:val="267"/>
        </w:trPr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</w:tcPr>
          <w:p w:rsidR="00546C5E" w:rsidRPr="00546C5E" w:rsidRDefault="00546C5E" w:rsidP="00546C5E">
            <w:r w:rsidRPr="00546C5E">
              <w:t>1</w:t>
            </w:r>
          </w:p>
        </w:tc>
        <w:tc>
          <w:tcPr>
            <w:tcW w:w="2552" w:type="dxa"/>
          </w:tcPr>
          <w:p w:rsidR="00546C5E" w:rsidRPr="00546C5E" w:rsidRDefault="00546C5E" w:rsidP="00546C5E">
            <w:r w:rsidRPr="00546C5E">
              <w:t>3</w:t>
            </w:r>
          </w:p>
        </w:tc>
        <w:tc>
          <w:tcPr>
            <w:tcW w:w="2126" w:type="dxa"/>
          </w:tcPr>
          <w:p w:rsidR="00546C5E" w:rsidRPr="00546C5E" w:rsidRDefault="00546C5E" w:rsidP="00546C5E">
            <w:r w:rsidRPr="00546C5E">
              <w:t>37,5</w:t>
            </w:r>
          </w:p>
        </w:tc>
      </w:tr>
      <w:tr w:rsidR="00546C5E" w:rsidRPr="00546C5E" w:rsidTr="00546C5E">
        <w:trPr>
          <w:trHeight w:val="277"/>
        </w:trPr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  <w:tcBorders>
              <w:bottom w:val="single" w:sz="12" w:space="0" w:color="000000"/>
            </w:tcBorders>
          </w:tcPr>
          <w:p w:rsidR="00546C5E" w:rsidRPr="00546C5E" w:rsidRDefault="00546C5E" w:rsidP="00546C5E">
            <w:r w:rsidRPr="00546C5E">
              <w:t>2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546C5E" w:rsidRPr="00546C5E" w:rsidRDefault="00546C5E" w:rsidP="00546C5E">
            <w:r w:rsidRPr="00546C5E">
              <w:t>6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546C5E" w:rsidRPr="00546C5E" w:rsidRDefault="00546C5E" w:rsidP="00546C5E">
            <w:r w:rsidRPr="00546C5E">
              <w:t>75</w:t>
            </w:r>
          </w:p>
        </w:tc>
      </w:tr>
      <w:tr w:rsidR="00546C5E" w:rsidRPr="00546C5E" w:rsidTr="00546C5E">
        <w:trPr>
          <w:trHeight w:val="277"/>
        </w:trPr>
        <w:tc>
          <w:tcPr>
            <w:tcW w:w="156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46C5E" w:rsidRPr="00546C5E" w:rsidRDefault="00546C5E" w:rsidP="00546C5E">
            <w:r w:rsidRPr="00546C5E">
              <w:t>60 кг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:rsidR="00546C5E" w:rsidRPr="00546C5E" w:rsidRDefault="00546C5E" w:rsidP="00546C5E">
            <w:r w:rsidRPr="00546C5E">
              <w:t>0,05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:rsidR="00546C5E" w:rsidRPr="00546C5E" w:rsidRDefault="00546C5E" w:rsidP="00546C5E">
            <w:r w:rsidRPr="00546C5E">
              <w:t>0,18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546C5E" w:rsidRPr="00546C5E" w:rsidRDefault="00546C5E" w:rsidP="00546C5E">
            <w:r w:rsidRPr="00546C5E">
              <w:t>2,25</w:t>
            </w:r>
          </w:p>
        </w:tc>
      </w:tr>
      <w:tr w:rsidR="00546C5E" w:rsidRPr="00546C5E" w:rsidTr="00546C5E">
        <w:trPr>
          <w:trHeight w:val="272"/>
        </w:trPr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</w:tcPr>
          <w:p w:rsidR="00546C5E" w:rsidRPr="00546C5E" w:rsidRDefault="00546C5E" w:rsidP="00546C5E">
            <w:r w:rsidRPr="00546C5E">
              <w:t>0,1</w:t>
            </w:r>
          </w:p>
        </w:tc>
        <w:tc>
          <w:tcPr>
            <w:tcW w:w="2552" w:type="dxa"/>
          </w:tcPr>
          <w:p w:rsidR="00546C5E" w:rsidRPr="00546C5E" w:rsidRDefault="00546C5E" w:rsidP="00546C5E">
            <w:r w:rsidRPr="00546C5E">
              <w:t>0,36</w:t>
            </w:r>
          </w:p>
        </w:tc>
        <w:tc>
          <w:tcPr>
            <w:tcW w:w="2126" w:type="dxa"/>
          </w:tcPr>
          <w:p w:rsidR="00546C5E" w:rsidRPr="00546C5E" w:rsidRDefault="00546C5E" w:rsidP="00546C5E">
            <w:r w:rsidRPr="00546C5E">
              <w:t>4,5</w:t>
            </w:r>
          </w:p>
        </w:tc>
      </w:tr>
      <w:tr w:rsidR="00546C5E" w:rsidRPr="00546C5E" w:rsidTr="00546C5E">
        <w:trPr>
          <w:trHeight w:val="272"/>
        </w:trPr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</w:tcPr>
          <w:p w:rsidR="00546C5E" w:rsidRPr="00546C5E" w:rsidRDefault="00546C5E" w:rsidP="00546C5E">
            <w:r w:rsidRPr="00546C5E">
              <w:t>0,2</w:t>
            </w:r>
          </w:p>
        </w:tc>
        <w:tc>
          <w:tcPr>
            <w:tcW w:w="2552" w:type="dxa"/>
          </w:tcPr>
          <w:p w:rsidR="00546C5E" w:rsidRPr="00546C5E" w:rsidRDefault="00546C5E" w:rsidP="00546C5E">
            <w:r w:rsidRPr="00546C5E">
              <w:t>0,72</w:t>
            </w:r>
          </w:p>
        </w:tc>
        <w:tc>
          <w:tcPr>
            <w:tcW w:w="2126" w:type="dxa"/>
          </w:tcPr>
          <w:p w:rsidR="00546C5E" w:rsidRPr="00546C5E" w:rsidRDefault="00546C5E" w:rsidP="00546C5E">
            <w:r w:rsidRPr="00546C5E">
              <w:t>9</w:t>
            </w:r>
          </w:p>
        </w:tc>
      </w:tr>
      <w:tr w:rsidR="00546C5E" w:rsidRPr="00546C5E" w:rsidTr="00546C5E">
        <w:trPr>
          <w:trHeight w:val="263"/>
        </w:trPr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</w:tcPr>
          <w:p w:rsidR="00546C5E" w:rsidRPr="00546C5E" w:rsidRDefault="00546C5E" w:rsidP="00546C5E">
            <w:r w:rsidRPr="00546C5E">
              <w:t>0,3</w:t>
            </w:r>
          </w:p>
        </w:tc>
        <w:tc>
          <w:tcPr>
            <w:tcW w:w="2552" w:type="dxa"/>
          </w:tcPr>
          <w:p w:rsidR="00546C5E" w:rsidRPr="00546C5E" w:rsidRDefault="00546C5E" w:rsidP="00546C5E">
            <w:r w:rsidRPr="00546C5E">
              <w:t>1,08</w:t>
            </w:r>
          </w:p>
        </w:tc>
        <w:tc>
          <w:tcPr>
            <w:tcW w:w="2126" w:type="dxa"/>
          </w:tcPr>
          <w:p w:rsidR="00546C5E" w:rsidRPr="00546C5E" w:rsidRDefault="00546C5E" w:rsidP="00546C5E">
            <w:r w:rsidRPr="00546C5E">
              <w:t>13,5</w:t>
            </w:r>
          </w:p>
        </w:tc>
      </w:tr>
      <w:tr w:rsidR="00546C5E" w:rsidRPr="00546C5E" w:rsidTr="00546C5E">
        <w:trPr>
          <w:trHeight w:val="267"/>
        </w:trPr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</w:tcPr>
          <w:p w:rsidR="00546C5E" w:rsidRPr="00546C5E" w:rsidRDefault="00546C5E" w:rsidP="00546C5E">
            <w:r w:rsidRPr="00546C5E">
              <w:t>0,5</w:t>
            </w:r>
          </w:p>
        </w:tc>
        <w:tc>
          <w:tcPr>
            <w:tcW w:w="2552" w:type="dxa"/>
          </w:tcPr>
          <w:p w:rsidR="00546C5E" w:rsidRPr="00546C5E" w:rsidRDefault="00546C5E" w:rsidP="00546C5E">
            <w:r w:rsidRPr="00546C5E">
              <w:t>1,8</w:t>
            </w:r>
          </w:p>
        </w:tc>
        <w:tc>
          <w:tcPr>
            <w:tcW w:w="2126" w:type="dxa"/>
          </w:tcPr>
          <w:p w:rsidR="00546C5E" w:rsidRPr="00546C5E" w:rsidRDefault="00546C5E" w:rsidP="00546C5E">
            <w:r w:rsidRPr="00546C5E">
              <w:t>22,5</w:t>
            </w:r>
          </w:p>
        </w:tc>
      </w:tr>
      <w:tr w:rsidR="00546C5E" w:rsidRPr="00546C5E" w:rsidTr="00546C5E">
        <w:trPr>
          <w:trHeight w:val="267"/>
        </w:trPr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</w:tcPr>
          <w:p w:rsidR="00546C5E" w:rsidRPr="00546C5E" w:rsidRDefault="00546C5E" w:rsidP="00546C5E">
            <w:r w:rsidRPr="00546C5E">
              <w:t>1</w:t>
            </w:r>
          </w:p>
        </w:tc>
        <w:tc>
          <w:tcPr>
            <w:tcW w:w="2552" w:type="dxa"/>
          </w:tcPr>
          <w:p w:rsidR="00546C5E" w:rsidRPr="00546C5E" w:rsidRDefault="00546C5E" w:rsidP="00546C5E">
            <w:r w:rsidRPr="00546C5E">
              <w:t>3,6</w:t>
            </w:r>
          </w:p>
        </w:tc>
        <w:tc>
          <w:tcPr>
            <w:tcW w:w="2126" w:type="dxa"/>
          </w:tcPr>
          <w:p w:rsidR="00546C5E" w:rsidRPr="00546C5E" w:rsidRDefault="00546C5E" w:rsidP="00546C5E">
            <w:r w:rsidRPr="00546C5E">
              <w:t>45</w:t>
            </w:r>
          </w:p>
        </w:tc>
      </w:tr>
      <w:tr w:rsidR="00546C5E" w:rsidRPr="00546C5E" w:rsidTr="00546C5E">
        <w:trPr>
          <w:trHeight w:val="277"/>
        </w:trPr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  <w:tcBorders>
              <w:bottom w:val="single" w:sz="12" w:space="0" w:color="000000"/>
            </w:tcBorders>
          </w:tcPr>
          <w:p w:rsidR="00546C5E" w:rsidRPr="00546C5E" w:rsidRDefault="00546C5E" w:rsidP="00546C5E">
            <w:r w:rsidRPr="00546C5E">
              <w:t>2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546C5E" w:rsidRPr="00546C5E" w:rsidRDefault="00546C5E" w:rsidP="00546C5E">
            <w:r w:rsidRPr="00546C5E">
              <w:t>7,2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546C5E" w:rsidRPr="00546C5E" w:rsidRDefault="00546C5E" w:rsidP="00546C5E">
            <w:r w:rsidRPr="00546C5E">
              <w:t>90</w:t>
            </w:r>
          </w:p>
        </w:tc>
      </w:tr>
      <w:tr w:rsidR="00546C5E" w:rsidRPr="00546C5E" w:rsidTr="00546C5E">
        <w:trPr>
          <w:trHeight w:val="277"/>
        </w:trPr>
        <w:tc>
          <w:tcPr>
            <w:tcW w:w="156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46C5E" w:rsidRPr="00546C5E" w:rsidRDefault="00546C5E" w:rsidP="00546C5E">
            <w:r w:rsidRPr="00546C5E">
              <w:t>70 кг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:rsidR="00546C5E" w:rsidRPr="00546C5E" w:rsidRDefault="00546C5E" w:rsidP="00546C5E">
            <w:r w:rsidRPr="00546C5E">
              <w:t>0,05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:rsidR="00546C5E" w:rsidRPr="00546C5E" w:rsidRDefault="00546C5E" w:rsidP="00546C5E">
            <w:r w:rsidRPr="00546C5E">
              <w:t>0,21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546C5E" w:rsidRPr="00546C5E" w:rsidRDefault="00546C5E" w:rsidP="00546C5E">
            <w:r w:rsidRPr="00546C5E">
              <w:t>2,625</w:t>
            </w:r>
          </w:p>
        </w:tc>
      </w:tr>
      <w:tr w:rsidR="00546C5E" w:rsidRPr="00546C5E" w:rsidTr="00546C5E">
        <w:trPr>
          <w:trHeight w:val="263"/>
        </w:trPr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</w:tcPr>
          <w:p w:rsidR="00546C5E" w:rsidRPr="00546C5E" w:rsidRDefault="00546C5E" w:rsidP="00546C5E">
            <w:r w:rsidRPr="00546C5E">
              <w:t>0,1</w:t>
            </w:r>
          </w:p>
        </w:tc>
        <w:tc>
          <w:tcPr>
            <w:tcW w:w="2552" w:type="dxa"/>
          </w:tcPr>
          <w:p w:rsidR="00546C5E" w:rsidRPr="00546C5E" w:rsidRDefault="00546C5E" w:rsidP="00546C5E">
            <w:r w:rsidRPr="00546C5E">
              <w:t xml:space="preserve">0,42 </w:t>
            </w:r>
          </w:p>
        </w:tc>
        <w:tc>
          <w:tcPr>
            <w:tcW w:w="2126" w:type="dxa"/>
          </w:tcPr>
          <w:p w:rsidR="00546C5E" w:rsidRPr="00546C5E" w:rsidRDefault="00546C5E" w:rsidP="00546C5E">
            <w:r w:rsidRPr="00546C5E">
              <w:t>5,25</w:t>
            </w:r>
          </w:p>
        </w:tc>
      </w:tr>
      <w:tr w:rsidR="00546C5E" w:rsidRPr="00546C5E" w:rsidTr="00546C5E">
        <w:trPr>
          <w:trHeight w:val="267"/>
        </w:trPr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</w:tcPr>
          <w:p w:rsidR="00546C5E" w:rsidRPr="00546C5E" w:rsidRDefault="00546C5E" w:rsidP="00546C5E">
            <w:r w:rsidRPr="00546C5E">
              <w:t>0,2</w:t>
            </w:r>
          </w:p>
        </w:tc>
        <w:tc>
          <w:tcPr>
            <w:tcW w:w="2552" w:type="dxa"/>
          </w:tcPr>
          <w:p w:rsidR="00546C5E" w:rsidRPr="00546C5E" w:rsidRDefault="00546C5E" w:rsidP="00546C5E">
            <w:r w:rsidRPr="00546C5E">
              <w:t>0,84</w:t>
            </w:r>
          </w:p>
        </w:tc>
        <w:tc>
          <w:tcPr>
            <w:tcW w:w="2126" w:type="dxa"/>
          </w:tcPr>
          <w:p w:rsidR="00546C5E" w:rsidRPr="00546C5E" w:rsidRDefault="00546C5E" w:rsidP="00546C5E">
            <w:r w:rsidRPr="00546C5E">
              <w:t>10,5</w:t>
            </w:r>
          </w:p>
        </w:tc>
      </w:tr>
      <w:tr w:rsidR="00546C5E" w:rsidRPr="00546C5E" w:rsidTr="00546C5E">
        <w:trPr>
          <w:trHeight w:val="267"/>
        </w:trPr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</w:tcPr>
          <w:p w:rsidR="00546C5E" w:rsidRPr="00546C5E" w:rsidRDefault="00546C5E" w:rsidP="00546C5E">
            <w:r w:rsidRPr="00546C5E">
              <w:t>0,3</w:t>
            </w:r>
          </w:p>
        </w:tc>
        <w:tc>
          <w:tcPr>
            <w:tcW w:w="2552" w:type="dxa"/>
          </w:tcPr>
          <w:p w:rsidR="00546C5E" w:rsidRPr="00546C5E" w:rsidRDefault="00546C5E" w:rsidP="00546C5E">
            <w:r w:rsidRPr="00546C5E">
              <w:t>1,26</w:t>
            </w:r>
          </w:p>
        </w:tc>
        <w:tc>
          <w:tcPr>
            <w:tcW w:w="2126" w:type="dxa"/>
          </w:tcPr>
          <w:p w:rsidR="00546C5E" w:rsidRPr="00546C5E" w:rsidRDefault="00546C5E" w:rsidP="00546C5E">
            <w:r w:rsidRPr="00546C5E">
              <w:t>15,75</w:t>
            </w:r>
          </w:p>
        </w:tc>
      </w:tr>
      <w:tr w:rsidR="00546C5E" w:rsidRPr="00546C5E" w:rsidTr="00546C5E">
        <w:trPr>
          <w:trHeight w:val="272"/>
        </w:trPr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</w:tcPr>
          <w:p w:rsidR="00546C5E" w:rsidRPr="00546C5E" w:rsidRDefault="00546C5E" w:rsidP="00546C5E">
            <w:r w:rsidRPr="00546C5E">
              <w:t>0,5</w:t>
            </w:r>
          </w:p>
        </w:tc>
        <w:tc>
          <w:tcPr>
            <w:tcW w:w="2552" w:type="dxa"/>
          </w:tcPr>
          <w:p w:rsidR="00546C5E" w:rsidRPr="00546C5E" w:rsidRDefault="00546C5E" w:rsidP="00546C5E">
            <w:r w:rsidRPr="00546C5E">
              <w:t>2,1</w:t>
            </w:r>
          </w:p>
        </w:tc>
        <w:tc>
          <w:tcPr>
            <w:tcW w:w="2126" w:type="dxa"/>
          </w:tcPr>
          <w:p w:rsidR="00546C5E" w:rsidRPr="00546C5E" w:rsidRDefault="00546C5E" w:rsidP="00546C5E">
            <w:r w:rsidRPr="00546C5E">
              <w:t>26,25</w:t>
            </w:r>
          </w:p>
        </w:tc>
      </w:tr>
      <w:tr w:rsidR="00546C5E" w:rsidRPr="00546C5E" w:rsidTr="00546C5E">
        <w:trPr>
          <w:trHeight w:val="263"/>
        </w:trPr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</w:tcPr>
          <w:p w:rsidR="00546C5E" w:rsidRPr="00546C5E" w:rsidRDefault="00546C5E" w:rsidP="00546C5E">
            <w:r w:rsidRPr="00546C5E">
              <w:t>1</w:t>
            </w:r>
          </w:p>
        </w:tc>
        <w:tc>
          <w:tcPr>
            <w:tcW w:w="2552" w:type="dxa"/>
          </w:tcPr>
          <w:p w:rsidR="00546C5E" w:rsidRPr="00546C5E" w:rsidRDefault="00546C5E" w:rsidP="00546C5E">
            <w:r w:rsidRPr="00546C5E">
              <w:t>4,2</w:t>
            </w:r>
          </w:p>
        </w:tc>
        <w:tc>
          <w:tcPr>
            <w:tcW w:w="2126" w:type="dxa"/>
          </w:tcPr>
          <w:p w:rsidR="00546C5E" w:rsidRPr="00546C5E" w:rsidRDefault="00546C5E" w:rsidP="00546C5E">
            <w:r w:rsidRPr="00546C5E">
              <w:t>52,5</w:t>
            </w:r>
          </w:p>
        </w:tc>
      </w:tr>
      <w:tr w:rsidR="00546C5E" w:rsidRPr="00546C5E" w:rsidTr="00546C5E">
        <w:trPr>
          <w:trHeight w:val="282"/>
        </w:trPr>
        <w:tc>
          <w:tcPr>
            <w:tcW w:w="1560" w:type="dxa"/>
            <w:vMerge/>
            <w:tcBorders>
              <w:top w:val="nil"/>
              <w:bottom w:val="single" w:sz="12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  <w:tcBorders>
              <w:bottom w:val="single" w:sz="12" w:space="0" w:color="000000"/>
            </w:tcBorders>
          </w:tcPr>
          <w:p w:rsidR="00546C5E" w:rsidRPr="00546C5E" w:rsidRDefault="00546C5E" w:rsidP="00546C5E">
            <w:r w:rsidRPr="00546C5E">
              <w:t>2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546C5E" w:rsidRPr="00546C5E" w:rsidRDefault="00546C5E" w:rsidP="00546C5E">
            <w:r w:rsidRPr="00546C5E">
              <w:t>8,4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546C5E" w:rsidRPr="00546C5E" w:rsidRDefault="00546C5E" w:rsidP="00546C5E">
            <w:r w:rsidRPr="00546C5E">
              <w:t>105</w:t>
            </w:r>
          </w:p>
        </w:tc>
      </w:tr>
      <w:tr w:rsidR="00546C5E" w:rsidRPr="00546C5E" w:rsidTr="00546C5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82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80 кг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0,05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0,24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3</w:t>
            </w:r>
          </w:p>
        </w:tc>
      </w:tr>
      <w:tr w:rsidR="00546C5E" w:rsidRPr="00546C5E" w:rsidTr="00546C5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63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0,1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0,48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6</w:t>
            </w:r>
          </w:p>
        </w:tc>
      </w:tr>
      <w:tr w:rsidR="00546C5E" w:rsidRPr="00546C5E" w:rsidTr="00546C5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63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0,2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0,96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12</w:t>
            </w:r>
          </w:p>
        </w:tc>
      </w:tr>
      <w:tr w:rsidR="00546C5E" w:rsidRPr="00546C5E" w:rsidTr="00546C5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0,3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1,44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18</w:t>
            </w:r>
          </w:p>
        </w:tc>
      </w:tr>
      <w:tr w:rsidR="00546C5E" w:rsidRPr="00546C5E" w:rsidTr="00546C5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2,4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30</w:t>
            </w:r>
          </w:p>
        </w:tc>
      </w:tr>
      <w:tr w:rsidR="00546C5E" w:rsidRPr="00546C5E" w:rsidTr="00546C5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4,8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60</w:t>
            </w:r>
          </w:p>
        </w:tc>
      </w:tr>
      <w:tr w:rsidR="00546C5E" w:rsidRPr="00546C5E" w:rsidTr="00546C5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9,6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C5E" w:rsidRPr="00546C5E" w:rsidRDefault="00546C5E" w:rsidP="00546C5E">
            <w:r w:rsidRPr="00546C5E">
              <w:t>120</w:t>
            </w:r>
          </w:p>
        </w:tc>
      </w:tr>
    </w:tbl>
    <w:p w:rsidR="00546C5E" w:rsidRDefault="00546C5E" w:rsidP="00546C5E"/>
    <w:p w:rsidR="00546C5E" w:rsidRDefault="00546C5E" w:rsidP="00546C5E"/>
    <w:p w:rsidR="00546C5E" w:rsidRDefault="00546C5E" w:rsidP="00546C5E">
      <w:r>
        <w:t>*При использовании другого разведения концентрата следует заменить значение концентрации раствора в используемой формуле:</w:t>
      </w:r>
    </w:p>
    <w:p w:rsidR="00546C5E" w:rsidRDefault="00546C5E" w:rsidP="00546C5E">
      <w:r>
        <w:t>Скорость инфузии (мл/ч) = дозировка (мкг/кг/мин) х вес пациента (кг) х 60 (мин) х 0,001</w:t>
      </w:r>
    </w:p>
    <w:p w:rsidR="00546C5E" w:rsidRDefault="00546C5E" w:rsidP="00546C5E">
      <w:r>
        <w:t>0,08 мг/мл</w:t>
      </w:r>
    </w:p>
    <w:p w:rsidR="00546C5E" w:rsidRDefault="00546C5E" w:rsidP="00546C5E">
      <w:r>
        <w:t>Химическая и физическая стабильность при использовании была продемонстрирована в течение 48 часов при 25 °С и при 2-8 °С при разведении до 4 мг/литр и до 40 мг/литр норэпинефрина в растворе натрия хлорида 9 мг/мл (0,9 %), или в растворе глюкозы 50 мг/мл (5 %), или в растворе натрия хлорида 9 мг/мл (0,9 %) с глюкозой 50 мг/мл (5 %).</w:t>
      </w:r>
    </w:p>
    <w:p w:rsidR="00546C5E" w:rsidRDefault="00546C5E" w:rsidP="00546C5E">
      <w:r>
        <w:t>Прекращение терапии</w:t>
      </w:r>
    </w:p>
    <w:p w:rsidR="00546C5E" w:rsidRDefault="00546C5E" w:rsidP="00546C5E">
      <w:r>
        <w:t>Терапию препаратом следует снижать поэтапно, так как резкая отмена может привести к острой гипотензии.</w:t>
      </w:r>
    </w:p>
    <w:p w:rsidR="00546C5E" w:rsidRDefault="00546C5E" w:rsidP="00546C5E">
      <w:r>
        <w:t>Курс лечения может длиться от нескольких часов до 6 дней. Как открыть ампулу:</w:t>
      </w:r>
    </w:p>
    <w:p w:rsidR="00546C5E" w:rsidRDefault="00546C5E" w:rsidP="00546C5E">
      <w:r>
        <w:t>1)</w:t>
      </w:r>
      <w:r>
        <w:t xml:space="preserve"> </w:t>
      </w:r>
      <w:r>
        <w:t>Поверните ампулу цветной точкой к себе. Слегка постучите пальцем по верхней части ампулы, чтобы раствор спустился в нижнюю часть ампулы.</w:t>
      </w:r>
    </w:p>
    <w:p w:rsidR="00546C5E" w:rsidRDefault="00546C5E" w:rsidP="00546C5E">
      <w:r>
        <w:t>2)</w:t>
      </w:r>
      <w:r>
        <w:t xml:space="preserve"> </w:t>
      </w:r>
      <w:r>
        <w:t>Используйте обе руки, чтобы открыть ампулу: удерживая нижнюю часть ампулы в одной руке, другой рукой надавите на верхнюю часть ампулы в направлении от цветной точки (см. рисунок ниже).</w:t>
      </w:r>
    </w:p>
    <w:p w:rsidR="00546C5E" w:rsidRDefault="00483A50" w:rsidP="00546C5E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146400" cy="2257200"/>
            <wp:effectExtent l="38100" t="38100" r="35560" b="29210"/>
            <wp:docPr id="2" name="Рисунок 2" descr="C:\Users\79052\YandexDisk\Скриншоты\2023-10-21_23-24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52\YandexDisk\Скриншоты\2023-10-21_23-24-4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3146400" cy="22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C5E" w:rsidRDefault="00546C5E" w:rsidP="00546C5E">
      <w:r>
        <w:lastRenderedPageBreak/>
        <w:t>Любой неиспользованный лекарственный препарат или материал отходов следует утилизировать в соответствии с местными требованиями.</w:t>
      </w:r>
    </w:p>
    <w:p w:rsidR="00546C5E" w:rsidRDefault="00546C5E" w:rsidP="00546C5E"/>
    <w:p w:rsidR="00546C5E" w:rsidRDefault="00546C5E" w:rsidP="00546C5E"/>
    <w:p w:rsidR="00546C5E" w:rsidRDefault="00546C5E" w:rsidP="00546C5E">
      <w:r>
        <w:t>Взаимодействия с другими лекарственными средствами</w:t>
      </w:r>
    </w:p>
    <w:p w:rsidR="00546C5E" w:rsidRDefault="00546C5E" w:rsidP="00546C5E">
      <w:r>
        <w:t>При применении одновременно с сердечными</w:t>
      </w:r>
      <w:r>
        <w:t xml:space="preserve"> </w:t>
      </w:r>
      <w:r>
        <w:t>гликозидами, хинидином, трициклическими антидепрессантами возрастает риск развития аритмий.</w:t>
      </w:r>
    </w:p>
    <w:p w:rsidR="00546C5E" w:rsidRDefault="00546C5E" w:rsidP="00546C5E">
      <w:r>
        <w:t>Альфа-адреноблокаторы</w:t>
      </w:r>
      <w:r>
        <w:t xml:space="preserve"> </w:t>
      </w:r>
      <w:r>
        <w:t>(доксазозин,</w:t>
      </w:r>
      <w:r>
        <w:t xml:space="preserve"> </w:t>
      </w:r>
      <w:r>
        <w:t>лабеталол,</w:t>
      </w:r>
      <w:r>
        <w:t xml:space="preserve"> </w:t>
      </w:r>
      <w:r>
        <w:t>феноксибензамин,</w:t>
      </w:r>
      <w:r>
        <w:t xml:space="preserve"> </w:t>
      </w:r>
      <w:r>
        <w:t>фентоламин,</w:t>
      </w:r>
      <w:r>
        <w:t xml:space="preserve"> </w:t>
      </w:r>
      <w:r>
        <w:t>празозин, теразозин, талазозин) и прочие лекарственные средства, обл</w:t>
      </w:r>
      <w:r w:rsidR="00483A50">
        <w:t xml:space="preserve">адающие альфа-адреноблокирующей </w:t>
      </w:r>
      <w:r>
        <w:t>активностью (галоперидол, локсапин, фенотиазины, тиоксантены), противодействуют сосудосуживающему действию.</w:t>
      </w:r>
    </w:p>
    <w:p w:rsidR="00546C5E" w:rsidRDefault="00546C5E" w:rsidP="00546C5E">
      <w:r>
        <w:t>Средства для ингаляционной общей анестезии (хлороформ, энфлуран, галотан, циклопропан, изофлуран и метоксифлуран) - риск развития желудочковых аритмий. Галотан и циклопропан увеличивают автономную возбудимость сердца и, таким образом, могут повышать чувствительность миокарда к воздействию вводимых внутривенно симпатомиметиков, таких как эпинефрин или норэпинефрин. Применение норэпинефрина во время общей анестезии циклопропаном или галотаном противопоказано из-за риска развития желудочковой тахикардии или фибрилляции желудочков.</w:t>
      </w:r>
    </w:p>
    <w:p w:rsidR="00546C5E" w:rsidRDefault="00546C5E" w:rsidP="00546C5E">
      <w:r>
        <w:t>Трициклические антидепрессанты и мапротилиг - возможно усиление сердечн</w:t>
      </w:r>
      <w:r w:rsidR="00483A50">
        <w:t>-</w:t>
      </w:r>
      <w:r>
        <w:t>ососудистых эффектов, прессорного действия, тахикардии и аритмий.</w:t>
      </w:r>
    </w:p>
    <w:p w:rsidR="00546C5E" w:rsidRDefault="00546C5E" w:rsidP="00546C5E">
      <w:r>
        <w:t>Гипотензивные лекарственные средства и диуретики - снижение эффекта от действия норэпинефрина.</w:t>
      </w:r>
    </w:p>
    <w:p w:rsidR="00546C5E" w:rsidRDefault="00546C5E" w:rsidP="00546C5E">
      <w:r>
        <w:t>При одновременном применении бета-адреноблокаторов с норэпинефрином возможно развитие брадикардии и выраженной артериальной гипертензии.</w:t>
      </w:r>
    </w:p>
    <w:p w:rsidR="00546C5E" w:rsidRDefault="00546C5E" w:rsidP="00546C5E">
      <w:r>
        <w:t>Кокаин, доксапрам - взаимное усиление гипертензивного действия.</w:t>
      </w:r>
    </w:p>
    <w:p w:rsidR="00546C5E" w:rsidRDefault="00546C5E" w:rsidP="00546C5E">
      <w:r>
        <w:t>Ингибиторы МАО, линезолид, фуразолидон, прокарбазин и селегилин - возможно удлинение и усиление прессорного эффекта.</w:t>
      </w:r>
    </w:p>
    <w:p w:rsidR="00546C5E" w:rsidRDefault="00546C5E" w:rsidP="00546C5E">
      <w:r>
        <w:t>Нитраты - ослабление антиангинального действия.</w:t>
      </w:r>
    </w:p>
    <w:p w:rsidR="00546C5E" w:rsidRDefault="00546C5E" w:rsidP="00546C5E">
      <w:r>
        <w:t>Алкалоиды спорыньи или окситоцин могут усиливать вазопрессорный и сосудосуживающий эффекты.</w:t>
      </w:r>
    </w:p>
    <w:p w:rsidR="00546C5E" w:rsidRDefault="00546C5E" w:rsidP="00546C5E">
      <w:r>
        <w:t>Гормоны щитовидной железы - риск возникновения коронарной недостаточности на фоне стенокардии.</w:t>
      </w:r>
    </w:p>
    <w:p w:rsidR="00546C5E" w:rsidRDefault="00546C5E" w:rsidP="00546C5E"/>
    <w:p w:rsidR="00546C5E" w:rsidRDefault="00546C5E" w:rsidP="00546C5E">
      <w:r>
        <w:t>Особые указания</w:t>
      </w:r>
    </w:p>
    <w:p w:rsidR="00546C5E" w:rsidRDefault="00546C5E" w:rsidP="00546C5E">
      <w:r>
        <w:t>Норэпинефрин должен применяться только при условии надлежащего восполнения объема ОЦК. Не использовать неразведенным.</w:t>
      </w:r>
    </w:p>
    <w:p w:rsidR="00546C5E" w:rsidRDefault="00546C5E" w:rsidP="00546C5E">
      <w:r>
        <w:t>Предназначен только для однократного применения. Перед введением разведенного раствора норэпинефрина необходим обязательны визуальный контроль на наличие присутствия осадка, помутнения или изменения цвета раствора. В случае каких-либо изменений введение раствора запрещено.</w:t>
      </w:r>
    </w:p>
    <w:p w:rsidR="00546C5E" w:rsidRDefault="00546C5E" w:rsidP="00546C5E">
      <w:r>
        <w:t>Не используйте раствор для инфузий, если он имеет коричневый цвет.</w:t>
      </w:r>
    </w:p>
    <w:p w:rsidR="00546C5E" w:rsidRDefault="00546C5E" w:rsidP="00546C5E">
      <w:r>
        <w:t>Передозировка норэпинефрина может привести к развитию артериальной гипертензии. Поэтому необходимо контролировать артериальное давление каждые две минуты с момента начала введения препарата до достижения желаемого артериального давления, и затем каждые 5 минут. в течение всего времени инфузии. Следует постоянно контролировать скорость введения препарата.</w:t>
      </w:r>
    </w:p>
    <w:p w:rsidR="00546C5E" w:rsidRDefault="00546C5E" w:rsidP="00546C5E">
      <w:r>
        <w:t>Пациент не должен оставаться без присмотра во время пр</w:t>
      </w:r>
      <w:r w:rsidR="00483A50">
        <w:t xml:space="preserve">именения препарата Норэпинефрин </w:t>
      </w:r>
      <w:r>
        <w:t>Калцекс.</w:t>
      </w:r>
      <w:r>
        <w:t xml:space="preserve"> </w:t>
      </w:r>
      <w:r>
        <w:t>Головная</w:t>
      </w:r>
      <w:r>
        <w:t xml:space="preserve"> </w:t>
      </w:r>
      <w:r>
        <w:t>боль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симптомом</w:t>
      </w:r>
      <w:r>
        <w:t xml:space="preserve"> </w:t>
      </w:r>
      <w:r>
        <w:t>артериальной</w:t>
      </w:r>
      <w:r>
        <w:t xml:space="preserve"> </w:t>
      </w:r>
      <w:r>
        <w:t>гипертензии</w:t>
      </w:r>
      <w:r>
        <w:t xml:space="preserve"> </w:t>
      </w:r>
      <w:r>
        <w:t>вследствие передозировки препарата.</w:t>
      </w:r>
    </w:p>
    <w:p w:rsidR="00546C5E" w:rsidRDefault="00546C5E" w:rsidP="00546C5E">
      <w:r>
        <w:t xml:space="preserve"> </w:t>
      </w:r>
    </w:p>
    <w:p w:rsidR="00546C5E" w:rsidRDefault="00546C5E" w:rsidP="00546C5E">
      <w:r>
        <w:t>Не</w:t>
      </w:r>
      <w:r>
        <w:t xml:space="preserve"> </w:t>
      </w:r>
      <w:r>
        <w:t xml:space="preserve">рекомендуется </w:t>
      </w:r>
    </w:p>
    <w:p w:rsidR="00483A50" w:rsidRDefault="00546C5E" w:rsidP="00483A50">
      <w:r>
        <w:t>одновременное</w:t>
      </w:r>
      <w:r>
        <w:t xml:space="preserve"> </w:t>
      </w:r>
      <w:r>
        <w:t>применение</w:t>
      </w:r>
      <w:r>
        <w:t xml:space="preserve"> </w:t>
      </w:r>
      <w:r>
        <w:t>норэпинефрина с</w:t>
      </w:r>
      <w:r>
        <w:t xml:space="preserve"> </w:t>
      </w:r>
      <w:r>
        <w:t>ингибиторами</w:t>
      </w:r>
      <w:r>
        <w:t xml:space="preserve"> </w:t>
      </w:r>
      <w:r>
        <w:t>МАО</w:t>
      </w:r>
      <w:r>
        <w:t xml:space="preserve"> </w:t>
      </w:r>
      <w:r>
        <w:t>и</w:t>
      </w:r>
      <w:r w:rsidR="00483A50" w:rsidRPr="00483A50">
        <w:t xml:space="preserve"> </w:t>
      </w:r>
      <w:r w:rsidR="00483A50">
        <w:t>трициклическими</w:t>
      </w:r>
      <w:r>
        <w:t xml:space="preserve"> антидепрессантами</w:t>
      </w:r>
      <w:r>
        <w:t xml:space="preserve"> </w:t>
      </w:r>
      <w:r>
        <w:t>(риск</w:t>
      </w:r>
      <w:r>
        <w:t xml:space="preserve"> </w:t>
      </w:r>
      <w:r>
        <w:t>развития</w:t>
      </w:r>
      <w:r>
        <w:t xml:space="preserve"> </w:t>
      </w:r>
      <w:r>
        <w:t>выраженного</w:t>
      </w:r>
      <w:r>
        <w:t xml:space="preserve"> </w:t>
      </w:r>
      <w:r>
        <w:t>и</w:t>
      </w:r>
      <w:r>
        <w:t xml:space="preserve"> </w:t>
      </w:r>
      <w:r>
        <w:t>продолжительного</w:t>
      </w:r>
      <w:r w:rsidR="00483A50">
        <w:t xml:space="preserve"> </w:t>
      </w:r>
      <w:r w:rsidR="00483A50">
        <w:t>повышения АД).</w:t>
      </w:r>
    </w:p>
    <w:p w:rsidR="00546C5E" w:rsidRDefault="00546C5E" w:rsidP="00546C5E">
      <w:r>
        <w:lastRenderedPageBreak/>
        <w:t>Длительное введение любого мощного вазопрессора (включая норэпинефрин) может привести к уменьшению объема плазмы крови, которое должно непрерывно корректироваться соответствующим введением жидкости и электролитов. Если объем плазмы не скорректирован, то после прекращения инфузии норэпинефрина может вновь развиться артериальная гипотензия, или поддержание артериального давления может быть сопряжено с риском выраженной периферической и висцеральной вазоконстрикции с уменьшением кровотока и тканевой перфузии (например, снижением почечной перфузии) с последующими тканевой гипоксией, лактатацидозом и возможным ишемическим повреждением тканей.</w:t>
      </w:r>
    </w:p>
    <w:p w:rsidR="00546C5E" w:rsidRDefault="00546C5E" w:rsidP="00546C5E">
      <w:r>
        <w:t>Пожилые пациенты могут быть особенно чувствительны к воздействию норэпинефрина.</w:t>
      </w:r>
    </w:p>
    <w:p w:rsidR="00546C5E" w:rsidRDefault="00546C5E" w:rsidP="00546C5E">
      <w:r>
        <w:t>При возникновении нарушений сердечного ритма во время инфузии - следует уменьшить дозу. При применении препарата Норэпинефрин Калцекс у пациентов с гипертиреозом и сахарным диабетом, также необходимо соблюдать осторожность.</w:t>
      </w:r>
    </w:p>
    <w:p w:rsidR="00546C5E" w:rsidRDefault="00546C5E" w:rsidP="00546C5E">
      <w:r>
        <w:t>Особую осторожность следует соблюдать для пациентов с тромбозом коронарных, брыжеечных или периферических сосудов, так как норэпинефрин может привести к усилению ишемии и увеличению зоны инфаркта.</w:t>
      </w:r>
    </w:p>
    <w:p w:rsidR="00546C5E" w:rsidRDefault="00546C5E" w:rsidP="00546C5E">
      <w:r>
        <w:t>Для пациентов с артериальной гипотензией после инфаркта миокарда и пациентов со стенокардией Принцметала - также необходима осторожность применения.</w:t>
      </w:r>
    </w:p>
    <w:p w:rsidR="00546C5E" w:rsidRDefault="00483A50" w:rsidP="00546C5E">
      <w:r>
        <w:t>Риск экстравазац</w:t>
      </w:r>
      <w:r w:rsidR="00546C5E">
        <w:t>ии</w:t>
      </w:r>
    </w:p>
    <w:p w:rsidR="00546C5E" w:rsidRDefault="00546C5E" w:rsidP="00546C5E">
      <w:r>
        <w:t>С целью снизить риск экстравазации и последующего</w:t>
      </w:r>
      <w:r>
        <w:t xml:space="preserve"> </w:t>
      </w:r>
      <w:r>
        <w:t>некроза тканей, необходим</w:t>
      </w:r>
      <w:r>
        <w:t xml:space="preserve"> </w:t>
      </w:r>
      <w:r>
        <w:t>постоянный</w:t>
      </w:r>
    </w:p>
    <w:p w:rsidR="00546C5E" w:rsidRDefault="00546C5E" w:rsidP="00546C5E">
      <w:r>
        <w:t>г</w:t>
      </w:r>
      <w:r>
        <w:t xml:space="preserve"> </w:t>
      </w:r>
      <w:r>
        <w:t>контроль положения иглы в вене при введении препарата Норэпинефрин Калцекс. Место инфузии необходимо часто проверять на возникновение свободного потока (инфильтрации). Следует</w:t>
      </w:r>
    </w:p>
    <w:p w:rsidR="00546C5E" w:rsidRDefault="00546C5E" w:rsidP="00546C5E">
      <w:r>
        <w:t>действовать с осторожностью, чтобы избежать протекания препарата из сосуда (экстравазация). По причине вазоконстрикции вены с повышенной проницаемостью может произойти протекание препарата в ткани, окружающие вену, используемую для инфузии, в этом случае следует сменить место инфузии, чтобы ослабить эффекты локальной вазоконстрикции.</w:t>
      </w:r>
    </w:p>
    <w:p w:rsidR="00546C5E" w:rsidRDefault="00546C5E" w:rsidP="00546C5E">
      <w:r>
        <w:t>Лечение ишемии, вызванной вазоконстрикцией</w:t>
      </w:r>
    </w:p>
    <w:p w:rsidR="00546C5E" w:rsidRDefault="00546C5E" w:rsidP="00546C5E">
      <w:r>
        <w:t>При протекании препарата Норэпинефрин Калцекс из сосуда или в случае инъекции мимо вены, может произойти побледнение и в дальнейшем некроз тканей в результате сосудосуживающего действия лекарства на сосуды.</w:t>
      </w:r>
    </w:p>
    <w:p w:rsidR="00546C5E" w:rsidRDefault="00546C5E" w:rsidP="00546C5E">
      <w:r>
        <w:t>При применении норэпинефрина на фоне общей анестезии галотаном или циклопропаном, а также у пациентов с тяжелой гипоксией или гиперкапнией возрастает риск развития жизнеугрожающих нарушений сердечного ритма (желудочковая тахикардия или фибрилляция желудочков).</w:t>
      </w:r>
    </w:p>
    <w:p w:rsidR="00546C5E" w:rsidRDefault="00546C5E" w:rsidP="00546C5E">
      <w:r>
        <w:t xml:space="preserve"> </w:t>
      </w:r>
    </w:p>
    <w:p w:rsidR="00546C5E" w:rsidRDefault="00546C5E" w:rsidP="00546C5E">
      <w:r>
        <w:t>Норэпинефрин следует вводить в крупные вены, в частности, в кубитальную вену, потому что при введении в последнюю риск некроза вышележащей кожи вследствие длительной вазоконстрикции, по-видимому, является незначительным. Бедренная вена также является допустимым местом введения препарата. Однако, поскольку окклюзионные сосудистые заболевания чаще поражают нижние конечности, чем верхние, следует избегать введения норэпинефрина в вены ног у пожилых пациентов и у пациентов, страдающих окклюзионными заболеваниями периферических сосудов (такими как атеросклероз, болезнь Бюргера, диабетическая ангиопатия). Описаны случаи развития гангрены нижней конечности при введении норэпинефрина в лодыжечные вены.</w:t>
      </w:r>
    </w:p>
    <w:p w:rsidR="00546C5E" w:rsidRDefault="00546C5E" w:rsidP="00546C5E"/>
    <w:p w:rsidR="00546C5E" w:rsidRDefault="00546C5E" w:rsidP="00546C5E">
      <w:r>
        <w:t>Влияние на способность управлять транспортными средствами и механизмами</w:t>
      </w:r>
    </w:p>
    <w:p w:rsidR="00546C5E" w:rsidRDefault="00546C5E" w:rsidP="00546C5E">
      <w:r>
        <w:t>При применении препарата не рекомендуется выполнение потенциально опа</w:t>
      </w:r>
      <w:r w:rsidR="00483A50">
        <w:t>сных видов деятельности, требую</w:t>
      </w:r>
      <w:bookmarkStart w:id="0" w:name="_GoBack"/>
      <w:bookmarkEnd w:id="0"/>
      <w:r>
        <w:t>щих повышенной концентрации внимания и быстроты психомоторных реакций (в том числе, управление транспортными средствами, работа с движущимися механизмами).</w:t>
      </w:r>
    </w:p>
    <w:p w:rsidR="00546C5E" w:rsidRDefault="00546C5E" w:rsidP="00546C5E"/>
    <w:p w:rsidR="00DA23CD" w:rsidRDefault="00DA23CD" w:rsidP="00546C5E"/>
    <w:sectPr w:rsidR="00DA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5E"/>
    <w:rsid w:val="00483A50"/>
    <w:rsid w:val="00546C5E"/>
    <w:rsid w:val="00A504E0"/>
    <w:rsid w:val="00DA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DA9B"/>
  <w15:chartTrackingRefBased/>
  <w15:docId w15:val="{E27FA56A-209D-4FB6-9A7B-CD2672D9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4E0"/>
    <w:pPr>
      <w:spacing w:after="0" w:line="240" w:lineRule="auto"/>
      <w:contextualSpacing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2023-10-21T20:18:00Z</dcterms:created>
  <dcterms:modified xsi:type="dcterms:W3CDTF">2023-10-21T20:29:00Z</dcterms:modified>
</cp:coreProperties>
</file>